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111A9ED"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40F6F">
        <w:t>6</w:t>
      </w:r>
      <w:r w:rsidR="005420B4" w:rsidRPr="00893890">
        <w:t>.</w:t>
      </w:r>
      <w:r w:rsidR="00296EFF">
        <w:t xml:space="preserve"> </w:t>
      </w:r>
      <w:r w:rsidR="00E40F6F">
        <w:t>prosince</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57FE790D" w:rsidR="007D3B29" w:rsidRDefault="006D2153" w:rsidP="002A2D40">
      <w:pPr>
        <w:pStyle w:val="paragraph"/>
        <w:spacing w:before="0" w:beforeAutospacing="0" w:after="0" w:afterAutospacing="0" w:line="276" w:lineRule="auto"/>
        <w:jc w:val="both"/>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sidR="00E40F6F">
        <w:rPr>
          <w:rStyle w:val="normaltextrun"/>
          <w:rFonts w:ascii="Arial" w:hAnsi="Arial" w:cs="Arial"/>
          <w:b/>
          <w:bCs/>
          <w:color w:val="000000"/>
          <w:sz w:val="28"/>
          <w:szCs w:val="28"/>
          <w:lang w:val="cs-CZ"/>
        </w:rPr>
        <w:t>:</w:t>
      </w:r>
      <w:r w:rsidR="007E4CDB">
        <w:rPr>
          <w:rStyle w:val="normaltextrun"/>
          <w:rFonts w:ascii="Arial" w:hAnsi="Arial" w:cs="Arial"/>
          <w:b/>
          <w:bCs/>
          <w:color w:val="000000"/>
          <w:sz w:val="28"/>
          <w:szCs w:val="28"/>
          <w:lang w:val="cs-CZ"/>
        </w:rPr>
        <w:t xml:space="preserve"> </w:t>
      </w:r>
      <w:r w:rsidR="00E40F6F">
        <w:rPr>
          <w:rStyle w:val="normaltextrun"/>
          <w:rFonts w:ascii="Arial" w:hAnsi="Arial" w:cs="Arial"/>
          <w:b/>
          <w:bCs/>
          <w:color w:val="000000"/>
          <w:sz w:val="28"/>
          <w:szCs w:val="28"/>
          <w:lang w:val="cs-CZ"/>
        </w:rPr>
        <w:t>Výhled pro trh ETF na rok 2024</w:t>
      </w:r>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53FBF2B2" w14:textId="6BB71247" w:rsidR="007E4CDB" w:rsidRPr="007E4CDB" w:rsidRDefault="00E40F6F"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ETF 2.0: rok 2024 přinese zvýšený zájem investorů o ETF podložená výzkumem</w:t>
      </w:r>
    </w:p>
    <w:p w14:paraId="1CDD2E94" w14:textId="43D2A320" w:rsidR="00E40F6F" w:rsidRPr="00AB759C" w:rsidRDefault="00E40F6F" w:rsidP="00E40F6F">
      <w:pPr>
        <w:spacing w:line="360" w:lineRule="auto"/>
      </w:pPr>
      <w:r>
        <w:rPr>
          <w:rFonts w:asciiTheme="minorHAnsi" w:hAnsiTheme="minorHAnsi" w:cstheme="minorHAnsi"/>
          <w:b/>
          <w:bCs/>
          <w:sz w:val="24"/>
          <w:szCs w:val="24"/>
        </w:rPr>
        <w:t>Investoři chtějí víc než jen klasické pasivní, tržně vážené ETF strategie</w:t>
      </w:r>
    </w:p>
    <w:p w14:paraId="496BDF63" w14:textId="3A1D0A18" w:rsidR="00226D28" w:rsidRPr="00226D28" w:rsidRDefault="00E40F6F" w:rsidP="00E40F6F">
      <w:pPr>
        <w:spacing w:line="360" w:lineRule="auto"/>
      </w:pPr>
      <w:r>
        <w:t xml:space="preserve">Trh ETF rostl v </w:t>
      </w:r>
      <w:r>
        <w:t>posledních letech vskutku impozantně. Příkladem může být počet registrací ETF fondů v Evropě, který se v posledních pěti letech téměř zdvojnásobil na 1,6 bilionu USD. Vzhledem k tomu, že nejvýznamnější kladné stránky ETF</w:t>
      </w:r>
      <w:r>
        <w:t xml:space="preserve"> </w:t>
      </w:r>
      <w:r w:rsidRPr="00E40F6F">
        <w:t>–</w:t>
      </w:r>
      <w:r>
        <w:t xml:space="preserve"> </w:t>
      </w:r>
      <w:r>
        <w:t xml:space="preserve">nákladová efektivita, vysoká likvidita a transparentnost </w:t>
      </w:r>
      <w:r w:rsidRPr="00E40F6F">
        <w:t>–</w:t>
      </w:r>
      <w:r>
        <w:t xml:space="preserve"> nacházejí u investorů stále velký ohlas, předpovědi pro toto odvětví naznačují, že do roku 2033 by objem prostředků vložených do ETF mohl celosvětově dosáhnout 30 bilionů USD.</w:t>
      </w:r>
    </w:p>
    <w:p w14:paraId="207B3195" w14:textId="77777777" w:rsidR="00E40F6F" w:rsidRDefault="00E40F6F" w:rsidP="00E40F6F">
      <w:pPr>
        <w:spacing w:line="360" w:lineRule="auto"/>
      </w:pPr>
      <w:r>
        <w:t>Trh ETF se však také vyvíjí a investoři se poohlížejí i po jiných než "čistě pasivních" druzích ETF. Ty sledují většinou široké, tržní kapitalizací vážené indexy (Market Cap ETF), které do značné míry poháněly růst celého odvětví.</w:t>
      </w:r>
    </w:p>
    <w:p w14:paraId="3594C152" w14:textId="7D699082" w:rsidR="00E40F6F" w:rsidRPr="00E40F6F" w:rsidRDefault="00E40F6F" w:rsidP="00E40F6F">
      <w:pPr>
        <w:spacing w:line="360" w:lineRule="auto"/>
      </w:pPr>
      <w:r>
        <w:t>Investoři stále častěji poptávají ETF, ale s investiční strategií obohacenou o unikátní vhled manažerů čerpaný z fundamentální analýzy, s cílem dosažení vyššího rizikově očištěného výnosu (</w:t>
      </w:r>
      <w:proofErr w:type="spellStart"/>
      <w:r>
        <w:t>Research</w:t>
      </w:r>
      <w:proofErr w:type="spellEnd"/>
      <w:r>
        <w:t xml:space="preserve"> ETF). O tomto trendu svědčí vyšší hodnoty kumulovaného anualizovaného růstu, které pozorujeme u “non-</w:t>
      </w:r>
      <w:proofErr w:type="spellStart"/>
      <w:r>
        <w:t>core</w:t>
      </w:r>
      <w:proofErr w:type="spellEnd"/>
      <w:r>
        <w:t>” akciových ETF ve srovnání s běžnými pasivními akciovými ETF.</w:t>
      </w:r>
    </w:p>
    <w:p w14:paraId="646E42C9" w14:textId="77777777" w:rsidR="00E40F6F" w:rsidRDefault="00E40F6F" w:rsidP="00AB759C">
      <w:pPr>
        <w:spacing w:line="360" w:lineRule="auto"/>
        <w:rPr>
          <w:rFonts w:asciiTheme="minorHAnsi" w:hAnsiTheme="minorHAnsi" w:cstheme="minorHAnsi"/>
          <w:b/>
          <w:bCs/>
          <w:sz w:val="24"/>
          <w:szCs w:val="24"/>
        </w:rPr>
      </w:pPr>
    </w:p>
    <w:p w14:paraId="5D63AB5F" w14:textId="77777777" w:rsidR="00E40F6F" w:rsidRDefault="00E40F6F" w:rsidP="00AB759C">
      <w:pPr>
        <w:spacing w:line="360" w:lineRule="auto"/>
        <w:rPr>
          <w:rFonts w:asciiTheme="minorHAnsi" w:hAnsiTheme="minorHAnsi" w:cstheme="minorHAnsi"/>
          <w:b/>
          <w:bCs/>
          <w:sz w:val="24"/>
          <w:szCs w:val="24"/>
        </w:rPr>
      </w:pPr>
    </w:p>
    <w:p w14:paraId="7A0E28D3" w14:textId="77777777" w:rsidR="00E40F6F" w:rsidRDefault="00E40F6F" w:rsidP="00AB759C">
      <w:pPr>
        <w:spacing w:line="360" w:lineRule="auto"/>
        <w:rPr>
          <w:rFonts w:asciiTheme="minorHAnsi" w:hAnsiTheme="minorHAnsi" w:cstheme="minorHAnsi"/>
          <w:b/>
          <w:bCs/>
          <w:sz w:val="24"/>
          <w:szCs w:val="24"/>
        </w:rPr>
      </w:pPr>
    </w:p>
    <w:p w14:paraId="3A59F2DC" w14:textId="77777777" w:rsidR="00E40F6F" w:rsidRDefault="00E40F6F" w:rsidP="00AB759C">
      <w:pPr>
        <w:spacing w:line="360" w:lineRule="auto"/>
        <w:rPr>
          <w:rFonts w:asciiTheme="minorHAnsi" w:hAnsiTheme="minorHAnsi" w:cstheme="minorHAnsi"/>
          <w:b/>
          <w:bCs/>
          <w:sz w:val="24"/>
          <w:szCs w:val="24"/>
        </w:rPr>
      </w:pPr>
    </w:p>
    <w:p w14:paraId="33E5763E" w14:textId="77777777" w:rsidR="00E40F6F" w:rsidRDefault="00E40F6F" w:rsidP="00AB759C">
      <w:pPr>
        <w:spacing w:line="360" w:lineRule="auto"/>
        <w:rPr>
          <w:rFonts w:asciiTheme="minorHAnsi" w:hAnsiTheme="minorHAnsi" w:cstheme="minorHAnsi"/>
          <w:b/>
          <w:bCs/>
          <w:sz w:val="24"/>
          <w:szCs w:val="24"/>
        </w:rPr>
      </w:pPr>
    </w:p>
    <w:p w14:paraId="550E8EE8" w14:textId="5CC95C44" w:rsidR="00AB759C" w:rsidRPr="00AB759C" w:rsidRDefault="00E40F6F" w:rsidP="00E40F6F">
      <w:pPr>
        <w:spacing w:line="276" w:lineRule="auto"/>
      </w:pPr>
      <w:r>
        <w:rPr>
          <w:rFonts w:asciiTheme="minorHAnsi" w:hAnsiTheme="minorHAnsi" w:cstheme="minorHAnsi"/>
          <w:b/>
          <w:bCs/>
          <w:sz w:val="24"/>
          <w:szCs w:val="24"/>
        </w:rPr>
        <w:lastRenderedPageBreak/>
        <w:t xml:space="preserve">ETF s domicilem v Evropě </w:t>
      </w:r>
      <w:r w:rsidRPr="00E40F6F">
        <w:rPr>
          <w:rFonts w:asciiTheme="minorHAnsi" w:hAnsiTheme="minorHAnsi" w:cstheme="minorHAnsi"/>
          <w:b/>
          <w:bCs/>
          <w:sz w:val="24"/>
          <w:szCs w:val="24"/>
        </w:rPr>
        <w:t>–</w:t>
      </w:r>
      <w:r w:rsidRPr="00E40F6F">
        <w:rPr>
          <w:rFonts w:asciiTheme="minorHAnsi" w:hAnsiTheme="minorHAnsi" w:cstheme="minorHAnsi"/>
          <w:b/>
          <w:bCs/>
          <w:sz w:val="24"/>
          <w:szCs w:val="24"/>
        </w:rPr>
        <w:t xml:space="preserve"> </w:t>
      </w:r>
      <w:r>
        <w:rPr>
          <w:rFonts w:asciiTheme="minorHAnsi" w:hAnsiTheme="minorHAnsi" w:cstheme="minorHAnsi"/>
          <w:b/>
          <w:bCs/>
          <w:sz w:val="24"/>
          <w:szCs w:val="24"/>
        </w:rPr>
        <w:t xml:space="preserve">hlavní pasivní indexové ETF vs. vedlejší a aktivní akciové ETF </w:t>
      </w:r>
      <w:r w:rsidRPr="00E40F6F">
        <w:rPr>
          <w:rFonts w:asciiTheme="minorHAnsi" w:hAnsiTheme="minorHAnsi" w:cstheme="minorHAnsi"/>
          <w:b/>
          <w:bCs/>
          <w:sz w:val="24"/>
          <w:szCs w:val="24"/>
        </w:rPr>
        <w:t>–</w:t>
      </w:r>
      <w:r>
        <w:rPr>
          <w:rFonts w:asciiTheme="minorHAnsi" w:hAnsiTheme="minorHAnsi" w:cstheme="minorHAnsi"/>
          <w:b/>
          <w:bCs/>
          <w:sz w:val="24"/>
          <w:szCs w:val="24"/>
        </w:rPr>
        <w:t xml:space="preserve"> CAGR od roku 2018 do 30. září 2023</w:t>
      </w:r>
    </w:p>
    <w:p w14:paraId="665BDCFB" w14:textId="77777777" w:rsidR="00E40F6F" w:rsidRDefault="00E40F6F" w:rsidP="00AB759C">
      <w:pPr>
        <w:autoSpaceDE w:val="0"/>
        <w:autoSpaceDN w:val="0"/>
        <w:adjustRightInd w:val="0"/>
        <w:spacing w:line="360" w:lineRule="auto"/>
      </w:pPr>
      <w:r w:rsidRPr="0070628E">
        <w:rPr>
          <w:noProof/>
        </w:rPr>
        <w:drawing>
          <wp:inline distT="0" distB="0" distL="0" distR="0" wp14:anchorId="1BFD6D75" wp14:editId="645CE8C2">
            <wp:extent cx="5733415" cy="2611120"/>
            <wp:effectExtent l="0" t="0" r="635" b="0"/>
            <wp:docPr id="1327249913" name="Obrázek 1" descr="Obsah obrázku snímek obrazovky, text,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49913" name="Obrázek 1" descr="Obsah obrázku snímek obrazovky, text, diagram, řada/pruh&#10;&#10;Popis byl vytvořen automaticky"/>
                    <pic:cNvPicPr/>
                  </pic:nvPicPr>
                  <pic:blipFill>
                    <a:blip r:embed="rId12"/>
                    <a:stretch>
                      <a:fillRect/>
                    </a:stretch>
                  </pic:blipFill>
                  <pic:spPr>
                    <a:xfrm>
                      <a:off x="0" y="0"/>
                      <a:ext cx="5733415" cy="2611120"/>
                    </a:xfrm>
                    <a:prstGeom prst="rect">
                      <a:avLst/>
                    </a:prstGeom>
                  </pic:spPr>
                </pic:pic>
              </a:graphicData>
            </a:graphic>
          </wp:inline>
        </w:drawing>
      </w:r>
    </w:p>
    <w:p w14:paraId="60FEACDB" w14:textId="18C298FF" w:rsidR="00E40F6F" w:rsidRPr="00573CC7" w:rsidRDefault="00E40F6F" w:rsidP="00573CC7">
      <w:pPr>
        <w:autoSpaceDE w:val="0"/>
        <w:autoSpaceDN w:val="0"/>
        <w:adjustRightInd w:val="0"/>
        <w:spacing w:line="360" w:lineRule="auto"/>
        <w:jc w:val="right"/>
        <w:rPr>
          <w:i/>
          <w:iCs/>
          <w:sz w:val="18"/>
          <w:szCs w:val="18"/>
        </w:rPr>
      </w:pPr>
      <w:r w:rsidRPr="00E40F6F">
        <w:rPr>
          <w:i/>
          <w:iCs/>
          <w:sz w:val="18"/>
          <w:szCs w:val="18"/>
        </w:rPr>
        <w:t xml:space="preserve">Zdroj: </w:t>
      </w:r>
      <w:proofErr w:type="spellStart"/>
      <w:r w:rsidRPr="00E40F6F">
        <w:rPr>
          <w:i/>
          <w:iCs/>
          <w:sz w:val="18"/>
          <w:szCs w:val="18"/>
        </w:rPr>
        <w:t>Fidelity</w:t>
      </w:r>
      <w:proofErr w:type="spellEnd"/>
      <w:r w:rsidRPr="00E40F6F">
        <w:rPr>
          <w:i/>
          <w:iCs/>
          <w:sz w:val="18"/>
          <w:szCs w:val="18"/>
        </w:rPr>
        <w:t xml:space="preserve"> International/</w:t>
      </w:r>
      <w:proofErr w:type="spellStart"/>
      <w:r w:rsidRPr="00E40F6F">
        <w:rPr>
          <w:i/>
          <w:iCs/>
          <w:sz w:val="18"/>
          <w:szCs w:val="18"/>
        </w:rPr>
        <w:t>Morningstar</w:t>
      </w:r>
      <w:proofErr w:type="spellEnd"/>
      <w:r w:rsidRPr="00E40F6F">
        <w:rPr>
          <w:i/>
          <w:iCs/>
          <w:sz w:val="18"/>
          <w:szCs w:val="18"/>
        </w:rPr>
        <w:t>, 30. září 2023.</w:t>
      </w:r>
    </w:p>
    <w:p w14:paraId="245CD776" w14:textId="19623F8E" w:rsidR="00573CC7" w:rsidRPr="00AB759C" w:rsidRDefault="00573CC7" w:rsidP="00573CC7">
      <w:pPr>
        <w:spacing w:line="276" w:lineRule="auto"/>
      </w:pPr>
      <w:r>
        <w:rPr>
          <w:rFonts w:asciiTheme="minorHAnsi" w:hAnsiTheme="minorHAnsi" w:cstheme="minorHAnsi"/>
          <w:b/>
          <w:bCs/>
          <w:sz w:val="24"/>
          <w:szCs w:val="24"/>
        </w:rPr>
        <w:t xml:space="preserve">ETF </w:t>
      </w:r>
      <w:r>
        <w:rPr>
          <w:rFonts w:asciiTheme="minorHAnsi" w:hAnsiTheme="minorHAnsi" w:cstheme="minorHAnsi"/>
          <w:b/>
          <w:bCs/>
          <w:sz w:val="24"/>
          <w:szCs w:val="24"/>
        </w:rPr>
        <w:t>založená na výzkumu využívají úplnější soubor nástrojů pro správu investic</w:t>
      </w:r>
    </w:p>
    <w:p w14:paraId="227B49BC" w14:textId="4C86B14F" w:rsidR="00AB759C" w:rsidRPr="00150359" w:rsidRDefault="00573CC7" w:rsidP="00573CC7">
      <w:pPr>
        <w:spacing w:line="360" w:lineRule="auto"/>
      </w:pPr>
      <w:r>
        <w:t xml:space="preserve">Tržně vážené ETF mohou být </w:t>
      </w:r>
      <w:r>
        <w:t>na složitých a dynamických trzích nevýrazným nástrojem, který může investory vystavit nežádoucím idiosynkratickým rizikům. Naproti tomu fondy ETF založené na výzkumu mohou využívat úplnější soubor nástrojů pro řízení investic a nabízet širší spektrum investičních příležitostí s diferencovanějším přístupem k řízení rizik a využívání příležitostí.</w:t>
      </w:r>
    </w:p>
    <w:p w14:paraId="0DF8BAC3" w14:textId="477E1079" w:rsidR="00573CC7" w:rsidRPr="00573CC7" w:rsidRDefault="00573CC7" w:rsidP="00573CC7">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ETF založená na výzkumu </w:t>
      </w:r>
      <w:r>
        <w:rPr>
          <w:rFonts w:asciiTheme="minorHAnsi" w:hAnsiTheme="minorHAnsi" w:cstheme="minorHAnsi"/>
          <w:b/>
          <w:bCs/>
          <w:sz w:val="24"/>
          <w:szCs w:val="24"/>
        </w:rPr>
        <w:t xml:space="preserve">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využívají například:</w:t>
      </w:r>
    </w:p>
    <w:p w14:paraId="00ECB7B5" w14:textId="77777777" w:rsidR="00573CC7" w:rsidRDefault="00573CC7" w:rsidP="00573CC7">
      <w:pPr>
        <w:pStyle w:val="Odstavecseseznamem"/>
        <w:numPr>
          <w:ilvl w:val="0"/>
          <w:numId w:val="31"/>
        </w:numPr>
        <w:spacing w:before="0" w:line="360" w:lineRule="auto"/>
        <w:jc w:val="left"/>
      </w:pPr>
      <w:r>
        <w:t>desítky let zkušeností s proprietárním výzkum, fundamentální analýzou a odhady, které se dívají dopředu;</w:t>
      </w:r>
    </w:p>
    <w:p w14:paraId="145039C7" w14:textId="77777777" w:rsidR="00573CC7" w:rsidRDefault="00573CC7" w:rsidP="00573CC7">
      <w:pPr>
        <w:pStyle w:val="Odstavecseseznamem"/>
        <w:numPr>
          <w:ilvl w:val="0"/>
          <w:numId w:val="31"/>
        </w:numPr>
        <w:spacing w:before="0" w:line="360" w:lineRule="auto"/>
        <w:jc w:val="left"/>
      </w:pPr>
      <w:r>
        <w:t>integrovaných přístupů k udržitelnému investování a</w:t>
      </w:r>
    </w:p>
    <w:p w14:paraId="64C54269" w14:textId="77777777" w:rsidR="00573CC7" w:rsidRDefault="00573CC7" w:rsidP="00573CC7">
      <w:pPr>
        <w:pStyle w:val="Odstavecseseznamem"/>
        <w:numPr>
          <w:ilvl w:val="0"/>
          <w:numId w:val="31"/>
        </w:numPr>
        <w:spacing w:before="0" w:line="360" w:lineRule="auto"/>
        <w:jc w:val="left"/>
      </w:pPr>
      <w:r>
        <w:t>robustních přístupů k řízení rizik včetně diferencovaných procesů tvorby portfolia, které se snaží omezit sledovací chybu (</w:t>
      </w:r>
      <w:proofErr w:type="spellStart"/>
      <w:r>
        <w:t>tracking</w:t>
      </w:r>
      <w:proofErr w:type="spellEnd"/>
      <w:r>
        <w:t xml:space="preserve"> </w:t>
      </w:r>
      <w:proofErr w:type="spellStart"/>
      <w:r>
        <w:t>error</w:t>
      </w:r>
      <w:proofErr w:type="spellEnd"/>
      <w:r>
        <w:t>), minimalizovat vznik nežádoucí koncentrace či další související tržní rizika</w:t>
      </w:r>
    </w:p>
    <w:p w14:paraId="3547C273" w14:textId="4E8B4C4C" w:rsidR="00573CC7" w:rsidRPr="00573CC7" w:rsidRDefault="00573CC7" w:rsidP="00573CC7">
      <w:pPr>
        <w:rPr>
          <w:rFonts w:asciiTheme="minorHAnsi" w:hAnsiTheme="minorHAnsi" w:cstheme="minorHAnsi"/>
          <w:b/>
          <w:bCs/>
          <w:sz w:val="24"/>
          <w:szCs w:val="24"/>
        </w:rPr>
      </w:pPr>
      <w:r w:rsidRPr="00573CC7">
        <w:rPr>
          <w:rFonts w:asciiTheme="minorHAnsi" w:hAnsiTheme="minorHAnsi" w:cstheme="minorHAnsi"/>
          <w:b/>
          <w:bCs/>
          <w:sz w:val="24"/>
          <w:szCs w:val="24"/>
        </w:rPr>
        <w:t>Zde jsou 3 konkrétní příklady investičních řešení:</w:t>
      </w:r>
    </w:p>
    <w:p w14:paraId="116A16D4" w14:textId="7AF2BC31" w:rsidR="00573CC7" w:rsidRPr="00573CC7" w:rsidRDefault="00573CC7" w:rsidP="00573CC7">
      <w:pPr>
        <w:pStyle w:val="F2-zkladn"/>
        <w:numPr>
          <w:ilvl w:val="0"/>
          <w:numId w:val="33"/>
        </w:numPr>
        <w:rPr>
          <w:b/>
          <w:bCs/>
        </w:rPr>
      </w:pPr>
      <w:r w:rsidRPr="00573CC7">
        <w:rPr>
          <w:b/>
          <w:bCs/>
        </w:rPr>
        <w:t>ETF s akciovým výnosem</w:t>
      </w:r>
    </w:p>
    <w:p w14:paraId="26AAEB70" w14:textId="77777777" w:rsidR="00573CC7" w:rsidRDefault="00573CC7" w:rsidP="00573CC7">
      <w:pPr>
        <w:spacing w:line="360" w:lineRule="auto"/>
        <w:ind w:left="360"/>
      </w:pPr>
      <w:r>
        <w:t xml:space="preserve">Mnoho ETF zaměřujících se pravidelný výnos z akcií </w:t>
      </w:r>
      <w:proofErr w:type="spellStart"/>
      <w:r>
        <w:t>nadvažuje</w:t>
      </w:r>
      <w:proofErr w:type="spellEnd"/>
      <w:r>
        <w:t xml:space="preserve"> sektory s nižším růstem, protože společnosti s vysokým růstem mají tendenci reinvestovat své zisky, a proto vyplácejí nižší dividendy. Ačkoli to samo o sobě není ve své podstatě negativní, může to být zjednodušující a zahrnovat náklady promarněné příležitosti, a to v obdobích, kdy růstový investiční faktor dosahuje lepších výsledků.</w:t>
      </w:r>
    </w:p>
    <w:p w14:paraId="604E40E1" w14:textId="77777777" w:rsidR="008B31AB" w:rsidRDefault="008B31AB" w:rsidP="008B31AB">
      <w:pPr>
        <w:spacing w:line="360" w:lineRule="auto"/>
      </w:pPr>
      <w:r>
        <w:lastRenderedPageBreak/>
        <w:t xml:space="preserve">Fond </w:t>
      </w:r>
      <w:proofErr w:type="spellStart"/>
      <w:r>
        <w:t>Fidelity</w:t>
      </w:r>
      <w:proofErr w:type="spellEnd"/>
      <w:r>
        <w:t xml:space="preserve"> International </w:t>
      </w:r>
      <w:proofErr w:type="spellStart"/>
      <w:r>
        <w:t>Quality</w:t>
      </w:r>
      <w:proofErr w:type="spellEnd"/>
      <w:r>
        <w:t xml:space="preserve"> </w:t>
      </w:r>
      <w:proofErr w:type="spellStart"/>
      <w:r>
        <w:t>Income</w:t>
      </w:r>
      <w:proofErr w:type="spellEnd"/>
      <w:r>
        <w:t xml:space="preserve"> ETF se snaží vybírat společnosti “vyšší kvality”, které jsou schopny nejen udržet atraktivní výplatu dividend, ale také dlouhodobě těžit ze zhodnocení kapitálu. Cílem je dosažení vyššího pravidelného výnosu ve srovnání s hlavními tržními indexy, participace na výnosech i na rostoucím trhu a zároveň určitá ochrana proti poklesu, to vše s nízkou sledovací chybou. Většina výnosu by měla vyplývat z individuálního výběru akcií, při absenci nežádoucích sázek na určitou zemi nebo sektor.</w:t>
      </w:r>
    </w:p>
    <w:p w14:paraId="3527A5D6" w14:textId="0D54159A" w:rsidR="008B31AB" w:rsidRPr="00573CC7" w:rsidRDefault="008B31AB" w:rsidP="008B31AB">
      <w:pPr>
        <w:pStyle w:val="F2-zkladn"/>
        <w:numPr>
          <w:ilvl w:val="0"/>
          <w:numId w:val="33"/>
        </w:numPr>
        <w:rPr>
          <w:b/>
          <w:bCs/>
        </w:rPr>
      </w:pPr>
      <w:r w:rsidRPr="00573CC7">
        <w:rPr>
          <w:b/>
          <w:bCs/>
        </w:rPr>
        <w:t>ETF s </w:t>
      </w:r>
      <w:r>
        <w:rPr>
          <w:b/>
          <w:bCs/>
        </w:rPr>
        <w:t>pevným</w:t>
      </w:r>
      <w:r w:rsidRPr="00573CC7">
        <w:rPr>
          <w:b/>
          <w:bCs/>
        </w:rPr>
        <w:t xml:space="preserve"> výnosem</w:t>
      </w:r>
    </w:p>
    <w:p w14:paraId="10323AB7" w14:textId="77777777" w:rsidR="003F0943" w:rsidRDefault="003F0943" w:rsidP="003F0943">
      <w:pPr>
        <w:spacing w:line="360" w:lineRule="auto"/>
      </w:pPr>
      <w:r>
        <w:t>Na rozdíl od akcií zůstávají trhy s pevným výnosem relativně neprůhledné, s vysokým podílem mimoburzovních transakcí a nízkou transparentností emitentů. V praxi již pasivní portfolio manažeři vzhledem k přirozeným vlastnostem trhu s pevným výnosem aktivně vybírají dluhopisy s cílem sledovat index, jakkoliv jde o výběr relativně omezený.</w:t>
      </w:r>
    </w:p>
    <w:p w14:paraId="42897383" w14:textId="77777777" w:rsidR="003F0943" w:rsidRDefault="003F0943" w:rsidP="003F0943">
      <w:pPr>
        <w:spacing w:line="360" w:lineRule="auto"/>
      </w:pPr>
      <w:r>
        <w:t xml:space="preserve">Fond </w:t>
      </w:r>
      <w:proofErr w:type="spellStart"/>
      <w:r>
        <w:t>Fidelity</w:t>
      </w:r>
      <w:proofErr w:type="spellEnd"/>
      <w:r>
        <w:t xml:space="preserve"> International </w:t>
      </w:r>
      <w:proofErr w:type="spellStart"/>
      <w:r>
        <w:t>Sustainable</w:t>
      </w:r>
      <w:proofErr w:type="spellEnd"/>
      <w:r>
        <w:t xml:space="preserve"> </w:t>
      </w:r>
      <w:proofErr w:type="spellStart"/>
      <w:r>
        <w:t>Fixed</w:t>
      </w:r>
      <w:proofErr w:type="spellEnd"/>
      <w:r>
        <w:t xml:space="preserve"> </w:t>
      </w:r>
      <w:proofErr w:type="spellStart"/>
      <w:r>
        <w:t>Income</w:t>
      </w:r>
      <w:proofErr w:type="spellEnd"/>
      <w:r>
        <w:t xml:space="preserve"> si klade za cíl generovat alfu díky aktivnímu výběru dluhopisů rozšířenému o náš vlastní </w:t>
      </w:r>
      <w:proofErr w:type="spellStart"/>
      <w:r>
        <w:t>vícefaktorový</w:t>
      </w:r>
      <w:proofErr w:type="spellEnd"/>
      <w:r>
        <w:t xml:space="preserve"> model a hodnocení udržitelnosti, na nichž pracují týmy kvantitativního, fundamentálního a udržitelného výzkumu společnosti </w:t>
      </w:r>
      <w:proofErr w:type="spellStart"/>
      <w:r>
        <w:t>Fidelity</w:t>
      </w:r>
      <w:proofErr w:type="spellEnd"/>
      <w:r>
        <w:t>.</w:t>
      </w:r>
    </w:p>
    <w:p w14:paraId="5FE8C0FA" w14:textId="17DDDBBE" w:rsidR="003F0943" w:rsidRDefault="003F0943" w:rsidP="003F0943">
      <w:pPr>
        <w:pStyle w:val="F2-zkladn"/>
        <w:numPr>
          <w:ilvl w:val="0"/>
          <w:numId w:val="33"/>
        </w:numPr>
        <w:rPr>
          <w:b/>
          <w:bCs/>
        </w:rPr>
      </w:pPr>
      <w:r>
        <w:rPr>
          <w:b/>
          <w:bCs/>
        </w:rPr>
        <w:t>Tematická ETF</w:t>
      </w:r>
    </w:p>
    <w:p w14:paraId="60010D9E" w14:textId="7E94CCBB" w:rsidR="003F0943" w:rsidRDefault="003F0943" w:rsidP="003F0943">
      <w:pPr>
        <w:spacing w:line="360" w:lineRule="auto"/>
      </w:pPr>
      <w:r>
        <w:t xml:space="preserve">Historicky bylo tematické investování </w:t>
      </w:r>
      <w:r w:rsidRPr="003F0943">
        <w:t>–</w:t>
      </w:r>
      <w:r>
        <w:t xml:space="preserve"> například zaměřené na čistou energii, digitální zdraví nebo dopravu nové generace</w:t>
      </w:r>
      <w:r>
        <w:t xml:space="preserve"> </w:t>
      </w:r>
      <w:r w:rsidRPr="003F0943">
        <w:t>–</w:t>
      </w:r>
      <w:r>
        <w:t xml:space="preserve"> </w:t>
      </w:r>
      <w:r>
        <w:t>nabízeno pouze aktivními manažery. Novinky v konstrukci indexů a vývoj v oblasti dostupnosti dat a analytiky znamenají, že tematické strategie mohou nyní transparentně nabízet i ETF.</w:t>
      </w:r>
    </w:p>
    <w:p w14:paraId="5011124C" w14:textId="77777777" w:rsidR="003F0943" w:rsidRDefault="003F0943" w:rsidP="003F0943">
      <w:pPr>
        <w:spacing w:line="360" w:lineRule="auto"/>
      </w:pPr>
      <w:r>
        <w:t xml:space="preserve">Tematická ETF společnosti </w:t>
      </w:r>
      <w:proofErr w:type="spellStart"/>
      <w:r>
        <w:t>Fidelity</w:t>
      </w:r>
      <w:proofErr w:type="spellEnd"/>
      <w:r>
        <w:t xml:space="preserve"> nabízí diferencované, taktické akciové investice zaměřené na dlouhodobé strukturální trendy. Vedle fundamentální analýzy se tato strategie opírá o naše vlastní hodnocení udržitelnosti, posouzení kvality (navržené s cílem identifikace dlouhodobé konkurenční výhody) či skóre relevance – vypočítané pomocí kombinace dat o tržbách a zpracování přirozeného jazyka.</w:t>
      </w:r>
    </w:p>
    <w:p w14:paraId="28900406" w14:textId="77777777" w:rsidR="003F0943" w:rsidRPr="003F0943" w:rsidRDefault="003F0943" w:rsidP="003F0943">
      <w:pPr>
        <w:rPr>
          <w:b/>
          <w:bCs/>
        </w:rPr>
      </w:pPr>
      <w:r w:rsidRPr="003F0943">
        <w:rPr>
          <w:b/>
          <w:bCs/>
        </w:rPr>
        <w:t>Nová generace ETF stavebních kamenů v roce 2024</w:t>
      </w:r>
    </w:p>
    <w:p w14:paraId="7BE6BA88" w14:textId="4D759D8F" w:rsidR="003F0943" w:rsidRDefault="003F0943" w:rsidP="003F0943">
      <w:pPr>
        <w:spacing w:line="360" w:lineRule="auto"/>
      </w:pPr>
      <w:r>
        <w:t xml:space="preserve">Dnešní investoři často poukazují na značnou komplexitu investování a nejistotu s tím spojenou. V tomto kontextu </w:t>
      </w:r>
      <w:proofErr w:type="spellStart"/>
      <w:r>
        <w:t>Fide</w:t>
      </w:r>
      <w:r>
        <w:t>li</w:t>
      </w:r>
      <w:r>
        <w:t>ty</w:t>
      </w:r>
      <w:proofErr w:type="spellEnd"/>
      <w:r>
        <w:t xml:space="preserve"> International pozoruje zájem investorů o výzkumná ETF:</w:t>
      </w:r>
    </w:p>
    <w:p w14:paraId="342A65EB" w14:textId="77777777" w:rsidR="003F0943" w:rsidRDefault="003F0943" w:rsidP="003F0943">
      <w:pPr>
        <w:numPr>
          <w:ilvl w:val="0"/>
          <w:numId w:val="37"/>
        </w:numPr>
        <w:spacing w:before="0" w:line="360" w:lineRule="auto"/>
        <w:jc w:val="left"/>
      </w:pPr>
      <w:r>
        <w:t>jako náhradu za standardní indexová akciová portfolia;</w:t>
      </w:r>
    </w:p>
    <w:p w14:paraId="5994C295" w14:textId="77777777" w:rsidR="003F0943" w:rsidRDefault="003F0943" w:rsidP="003F0943">
      <w:pPr>
        <w:numPr>
          <w:ilvl w:val="0"/>
          <w:numId w:val="37"/>
        </w:numPr>
        <w:spacing w:before="0" w:line="360" w:lineRule="auto"/>
        <w:jc w:val="left"/>
      </w:pPr>
      <w:r>
        <w:t>jako stavební prvky strategií ESG nebo</w:t>
      </w:r>
    </w:p>
    <w:p w14:paraId="29FFBB8D" w14:textId="77777777" w:rsidR="003F0943" w:rsidRDefault="003F0943" w:rsidP="003F0943">
      <w:pPr>
        <w:numPr>
          <w:ilvl w:val="0"/>
          <w:numId w:val="37"/>
        </w:numPr>
        <w:spacing w:before="0" w:line="360" w:lineRule="auto"/>
        <w:jc w:val="left"/>
      </w:pPr>
      <w:r>
        <w:t>jako součást speciálních taktických strategií investujících do nejzajímavějších investičních témat.</w:t>
      </w:r>
    </w:p>
    <w:p w14:paraId="489FD1BE" w14:textId="77777777" w:rsidR="003F0943" w:rsidRDefault="003F0943" w:rsidP="003F0943">
      <w:pPr>
        <w:spacing w:before="0" w:line="360" w:lineRule="auto"/>
        <w:ind w:left="720"/>
        <w:jc w:val="left"/>
      </w:pPr>
    </w:p>
    <w:p w14:paraId="7FD03F02" w14:textId="5223C5AC" w:rsidR="005545A5" w:rsidRDefault="003F0943" w:rsidP="003F0943">
      <w:pPr>
        <w:spacing w:before="0" w:line="360" w:lineRule="auto"/>
      </w:pPr>
      <w:r w:rsidRPr="003F0943">
        <w:rPr>
          <w:i/>
          <w:iCs/>
        </w:rPr>
        <w:t xml:space="preserve">„Jsme přesvědčeni, že klienti oceňují také naši schopnost holisticky řešit individuální specifické potřeby. Pomáháme například navrhovat kombinace různých stavebních bloků ETF a integrovat je do stávajících složek portfolia v různých tržních situacích. Zdá se, že současné tržní prostředí, které je složité a ve </w:t>
      </w:r>
      <w:r w:rsidRPr="003F0943">
        <w:rPr>
          <w:i/>
          <w:iCs/>
        </w:rPr>
        <w:lastRenderedPageBreak/>
        <w:t>kterém si lze představit vývoj podle mnoha různých scénářů, bude pokračovat i v roce 2024. Investoři v něm podle našeho názoru rádi sáhnou po nové generaci strategií ETF založených na výzkumu,“</w:t>
      </w:r>
      <w:r w:rsidRPr="003F0943">
        <w:t xml:space="preserve"> uzavírá </w:t>
      </w:r>
      <w:hyperlink r:id="rId13" w:history="1">
        <w:proofErr w:type="spellStart"/>
        <w:r w:rsidRPr="003F0943">
          <w:t>Dorcas</w:t>
        </w:r>
        <w:proofErr w:type="spellEnd"/>
        <w:r w:rsidRPr="003F0943">
          <w:t xml:space="preserve"> Phillips</w:t>
        </w:r>
      </w:hyperlink>
      <w:r w:rsidRPr="003F0943">
        <w:t xml:space="preserve">, která vede ETF kapitálové trhy ve </w:t>
      </w:r>
      <w:proofErr w:type="spellStart"/>
      <w:r w:rsidRPr="003F0943">
        <w:t>Fidelity</w:t>
      </w:r>
      <w:proofErr w:type="spellEnd"/>
      <w:r w:rsidRPr="003F0943">
        <w:t xml:space="preserve"> International.</w:t>
      </w:r>
    </w:p>
    <w:p w14:paraId="17D21306" w14:textId="77777777" w:rsidR="003F0943" w:rsidRPr="003F0943" w:rsidRDefault="003F0943" w:rsidP="003F094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lastRenderedPageBreak/>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C5BD8AE" w14:textId="71D7F7BA" w:rsidR="00555D64" w:rsidRDefault="003F0943" w:rsidP="003F0943">
      <w:pPr>
        <w:pStyle w:val="F2-zkladn"/>
      </w:pPr>
      <w:r w:rsidRPr="003F0943">
        <w:t>MKAT11916</w:t>
      </w:r>
    </w:p>
    <w:sectPr w:rsidR="00555D64"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F3AF" w14:textId="77777777" w:rsidR="005F34DA" w:rsidRDefault="005F34DA">
      <w:r>
        <w:separator/>
      </w:r>
    </w:p>
  </w:endnote>
  <w:endnote w:type="continuationSeparator" w:id="0">
    <w:p w14:paraId="0BB607DD" w14:textId="77777777" w:rsidR="005F34DA" w:rsidRDefault="005F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03D0" w14:textId="77777777" w:rsidR="005F34DA" w:rsidRDefault="005F34DA">
      <w:r>
        <w:separator/>
      </w:r>
    </w:p>
  </w:footnote>
  <w:footnote w:type="continuationSeparator" w:id="0">
    <w:p w14:paraId="668B2BBD" w14:textId="77777777" w:rsidR="005F34DA" w:rsidRDefault="005F34DA">
      <w:r>
        <w:continuationSeparator/>
      </w:r>
    </w:p>
  </w:footnote>
  <w:footnote w:type="continuationNotice" w:id="1">
    <w:p w14:paraId="6F33018E" w14:textId="77777777" w:rsidR="005F34DA" w:rsidRDefault="005F3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50E8"/>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delity.cz/search/tag/fil/global/authors/dorcas-philli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1595</Words>
  <Characters>9417</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10991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5</cp:revision>
  <cp:lastPrinted>2015-11-30T16:29:00Z</cp:lastPrinted>
  <dcterms:created xsi:type="dcterms:W3CDTF">2023-12-06T10:47:00Z</dcterms:created>
  <dcterms:modified xsi:type="dcterms:W3CDTF">2023-12-06T11:02:00Z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